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30" w:rsidRPr="005B6879" w:rsidRDefault="002E2930" w:rsidP="002E2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5B6879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OFICIO N° 033140</w:t>
      </w:r>
    </w:p>
    <w:p w:rsidR="002E2930" w:rsidRPr="005B6879" w:rsidRDefault="002E2930" w:rsidP="002E2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5B687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O"/>
        </w:rPr>
        <w:t>30-05-2013</w:t>
      </w:r>
    </w:p>
    <w:p w:rsidR="002E2930" w:rsidRPr="005B6879" w:rsidRDefault="002E2930" w:rsidP="002E2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5B6879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DIAN</w:t>
      </w:r>
    </w:p>
    <w:p w:rsidR="002E2930" w:rsidRPr="005B6879" w:rsidRDefault="002E2930" w:rsidP="002E2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2E2930" w:rsidRPr="005B6879" w:rsidRDefault="002E2930" w:rsidP="002E2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</w:p>
    <w:p w:rsidR="002E2930" w:rsidRPr="005B6879" w:rsidRDefault="002E2930" w:rsidP="002E29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CO"/>
        </w:rPr>
      </w:pPr>
      <w:r w:rsidRPr="005B6879">
        <w:rPr>
          <w:rFonts w:ascii="Times New Roman" w:eastAsia="Times New Roman" w:hAnsi="Times New Roman" w:cs="Times New Roman"/>
          <w:bCs/>
          <w:sz w:val="24"/>
          <w:szCs w:val="24"/>
          <w:lang w:val="es-ES_tradnl" w:eastAsia="es-CO"/>
        </w:rPr>
        <w:t>Bogotá D.C.</w:t>
      </w:r>
    </w:p>
    <w:p w:rsidR="002E2930" w:rsidRPr="005B6879" w:rsidRDefault="002E2930" w:rsidP="002E29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CO"/>
        </w:rPr>
      </w:pPr>
    </w:p>
    <w:p w:rsidR="002E2930" w:rsidRPr="005B6879" w:rsidRDefault="002E2930" w:rsidP="002E29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CO"/>
        </w:rPr>
      </w:pPr>
      <w:r w:rsidRPr="005B687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O"/>
        </w:rPr>
        <w:t xml:space="preserve">Tema: </w:t>
      </w:r>
      <w:r w:rsidRPr="005B6879">
        <w:rPr>
          <w:rFonts w:ascii="Times New Roman" w:eastAsia="Times New Roman" w:hAnsi="Times New Roman" w:cs="Times New Roman"/>
          <w:bCs/>
          <w:sz w:val="24"/>
          <w:szCs w:val="24"/>
          <w:lang w:val="es-ES_tradnl" w:eastAsia="es-CO"/>
        </w:rPr>
        <w:t>Impuesto sobre la renta para la equidad- CREE</w:t>
      </w:r>
    </w:p>
    <w:p w:rsidR="005B6879" w:rsidRDefault="005B6879" w:rsidP="002E29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O"/>
        </w:rPr>
      </w:pPr>
    </w:p>
    <w:p w:rsidR="002E2930" w:rsidRPr="005B6879" w:rsidRDefault="002E2930" w:rsidP="002E29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CO"/>
        </w:rPr>
      </w:pPr>
      <w:r w:rsidRPr="005B687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O"/>
        </w:rPr>
        <w:t xml:space="preserve">Descriptores: </w:t>
      </w:r>
      <w:r w:rsidRPr="005B6879">
        <w:rPr>
          <w:rFonts w:ascii="Times New Roman" w:eastAsia="Times New Roman" w:hAnsi="Times New Roman" w:cs="Times New Roman"/>
          <w:bCs/>
          <w:sz w:val="24"/>
          <w:szCs w:val="24"/>
          <w:lang w:val="es-ES_tradnl" w:eastAsia="es-CO"/>
        </w:rPr>
        <w:t>Retención en la fuente</w:t>
      </w:r>
    </w:p>
    <w:p w:rsidR="005B6879" w:rsidRDefault="005B6879" w:rsidP="002E29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O"/>
        </w:rPr>
      </w:pPr>
    </w:p>
    <w:p w:rsidR="002E2930" w:rsidRPr="005B6879" w:rsidRDefault="002E2930" w:rsidP="002E29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CO"/>
        </w:rPr>
      </w:pPr>
      <w:r w:rsidRPr="005B687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O"/>
        </w:rPr>
        <w:t xml:space="preserve">Fuentes Formales: </w:t>
      </w:r>
      <w:r w:rsidRPr="005B6879">
        <w:rPr>
          <w:rFonts w:ascii="Times New Roman" w:eastAsia="Times New Roman" w:hAnsi="Times New Roman" w:cs="Times New Roman"/>
          <w:bCs/>
          <w:sz w:val="24"/>
          <w:szCs w:val="24"/>
          <w:lang w:val="es-ES_tradnl" w:eastAsia="es-CO"/>
        </w:rPr>
        <w:t xml:space="preserve">Ley 1607 de 2012 </w:t>
      </w:r>
      <w:proofErr w:type="spellStart"/>
      <w:r w:rsidRPr="005B6879">
        <w:rPr>
          <w:rFonts w:ascii="Times New Roman" w:eastAsia="Times New Roman" w:hAnsi="Times New Roman" w:cs="Times New Roman"/>
          <w:bCs/>
          <w:sz w:val="24"/>
          <w:szCs w:val="24"/>
          <w:lang w:val="es-ES_tradnl" w:eastAsia="es-CO"/>
        </w:rPr>
        <w:t>arts</w:t>
      </w:r>
      <w:proofErr w:type="spellEnd"/>
      <w:r w:rsidRPr="005B6879">
        <w:rPr>
          <w:rFonts w:ascii="Times New Roman" w:eastAsia="Times New Roman" w:hAnsi="Times New Roman" w:cs="Times New Roman"/>
          <w:bCs/>
          <w:sz w:val="24"/>
          <w:szCs w:val="24"/>
          <w:lang w:val="es-ES_tradnl" w:eastAsia="es-CO"/>
        </w:rPr>
        <w:t xml:space="preserve"> 20, 21, 22. Decreto 862 de 2013.</w:t>
      </w:r>
    </w:p>
    <w:p w:rsidR="002E2930" w:rsidRPr="005B6879" w:rsidRDefault="002E2930" w:rsidP="002E29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2E2930" w:rsidRPr="005B6879" w:rsidRDefault="002E2930" w:rsidP="002E29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2E2930" w:rsidRPr="005B6879" w:rsidRDefault="002E2930" w:rsidP="002E29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  <w:r w:rsidRPr="005B6879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Doctor</w:t>
      </w:r>
    </w:p>
    <w:p w:rsidR="002E2930" w:rsidRPr="005B6879" w:rsidRDefault="002E2930" w:rsidP="002E29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  <w:r w:rsidRPr="005B687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O"/>
        </w:rPr>
        <w:t xml:space="preserve">JUAN MANUEL CAMARGO </w:t>
      </w:r>
      <w:r w:rsidRPr="005B6879">
        <w:rPr>
          <w:rFonts w:ascii="Times New Roman" w:eastAsia="Times New Roman" w:hAnsi="Times New Roman" w:cs="Times New Roman"/>
          <w:b/>
          <w:sz w:val="24"/>
          <w:szCs w:val="24"/>
          <w:lang w:val="es-ES_tradnl" w:eastAsia="es-CO"/>
        </w:rPr>
        <w:t>G.</w:t>
      </w:r>
    </w:p>
    <w:p w:rsidR="002E2930" w:rsidRPr="005B6879" w:rsidRDefault="002E2930" w:rsidP="002E29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B6879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Vicepresidente Jurídico </w:t>
      </w:r>
      <w:proofErr w:type="spellStart"/>
      <w:r w:rsidRPr="005B6879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Almaviva</w:t>
      </w:r>
      <w:proofErr w:type="spellEnd"/>
    </w:p>
    <w:p w:rsidR="002E2930" w:rsidRPr="005B6879" w:rsidRDefault="002E2930" w:rsidP="002E29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  <w:r w:rsidRPr="005B6879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Bogotá</w:t>
      </w:r>
    </w:p>
    <w:p w:rsidR="002E2930" w:rsidRPr="005B6879" w:rsidRDefault="002E2930" w:rsidP="002E29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</w:p>
    <w:p w:rsidR="002E2930" w:rsidRPr="005B6879" w:rsidRDefault="002E2930" w:rsidP="002E29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  <w:r w:rsidRPr="005B6879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Cordial saludo doctor Camargo,</w:t>
      </w:r>
    </w:p>
    <w:p w:rsidR="002E2930" w:rsidRPr="005B6879" w:rsidRDefault="002E2930" w:rsidP="002E29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</w:p>
    <w:p w:rsidR="002E2930" w:rsidRPr="005B6879" w:rsidRDefault="002E2930" w:rsidP="002E29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B6879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De conformidad con el artículo 20 del Decreto 4048 de 2008 y la Resolución 090 de 2012, este despacho es competente para absolver las consultas que se formulen sobre la interpretación y aplicación de las normas tributarias, aduaneras o de comercio exterior y control cambiario en lo de competencia de la Dirección de Impuestos y Aduanas Nacionales.</w:t>
      </w:r>
    </w:p>
    <w:p w:rsidR="002E2930" w:rsidRPr="005B6879" w:rsidRDefault="002E2930" w:rsidP="002E29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</w:p>
    <w:p w:rsidR="002E2930" w:rsidRPr="005B6879" w:rsidRDefault="002E2930" w:rsidP="002E29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  <w:r w:rsidRPr="005B6879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En el escrito de la referencia, manifiesta algunas consideraciones respecto del artículo 20 de la Ley 1607 de 2012, específicamente en lo que dice relación con los usuarios comerciales de Zona Franca. A su juicio como quiera que la ley </w:t>
      </w:r>
      <w:proofErr w:type="gramStart"/>
      <w:r w:rsidRPr="005B6879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señala</w:t>
      </w:r>
      <w:proofErr w:type="gramEnd"/>
      <w:r w:rsidRPr="005B6879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 que no son sujetos pasivos del impuesto sobre la renta para la equidad los usuarios de zona franca "sujetos a la tarifa del impuesto sobre la renta establecida en el </w:t>
      </w:r>
      <w:hyperlink r:id="rId5" w:tooltip="Estatuto Tributario CETA" w:history="1">
        <w:r w:rsidRPr="005B6879">
          <w:rPr>
            <w:rFonts w:ascii="Times New Roman" w:eastAsia="Times New Roman" w:hAnsi="Times New Roman" w:cs="Times New Roman"/>
            <w:sz w:val="24"/>
            <w:szCs w:val="24"/>
            <w:lang w:val="es-ES_tradnl" w:eastAsia="es-CO"/>
          </w:rPr>
          <w:t>artículo 240-1</w:t>
        </w:r>
      </w:hyperlink>
      <w:r w:rsidRPr="005B6879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 del Estatuto Tributario" debe entenderse que incluyó a los Usuarios Comerciales.</w:t>
      </w:r>
    </w:p>
    <w:p w:rsidR="002E2930" w:rsidRPr="005B6879" w:rsidRDefault="002E2930" w:rsidP="002E29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</w:p>
    <w:p w:rsidR="002E2930" w:rsidRPr="005B6879" w:rsidRDefault="002E2930" w:rsidP="002E29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  <w:r w:rsidRPr="005B6879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El artículo 20 de la Ley 1607 de 2012 consagra de manera expresa quienes son los sujetos pasivos del impuesto sobre la renta para la equidad CREE y también precisa quienes no lo son.</w:t>
      </w:r>
    </w:p>
    <w:p w:rsidR="002E2930" w:rsidRPr="005B6879" w:rsidRDefault="002E2930" w:rsidP="002E29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</w:p>
    <w:p w:rsidR="002E2930" w:rsidRPr="005B6879" w:rsidRDefault="002E2930" w:rsidP="002E29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B6879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Para el tema que nos ocupa, el Parágrafo 3 dispone: "Las sociedades declaradas como zonas francas al 31 de diciembre de 2012, o aquellas que hayan radicado la respectiva solicitud ante el Comité Intersectorial de Zonas Francas, y los usuarios que se hayan calificado o se califiquen a futuro en estas, sujetos a la tarifa de impuesto sobre la renta establecida en el </w:t>
      </w:r>
      <w:hyperlink r:id="rId6" w:tooltip="Estatuto Tributario CETA" w:history="1">
        <w:r w:rsidRPr="005B6879">
          <w:rPr>
            <w:rFonts w:ascii="Times New Roman" w:eastAsia="Times New Roman" w:hAnsi="Times New Roman" w:cs="Times New Roman"/>
            <w:sz w:val="24"/>
            <w:szCs w:val="24"/>
            <w:lang w:val="es-ES_tradnl" w:eastAsia="es-CO"/>
          </w:rPr>
          <w:t>artículo 240-1</w:t>
        </w:r>
      </w:hyperlink>
      <w:r w:rsidRPr="005B6879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 del Estatuto Tributario, continuarán con el pago de los aportes parafiscales y las cotizaciones de que tratan los artículos 202 y 204 de la Ley 100 de 1993 y los pertinentes de la Ley 1122 de 2007, el artículo 7o de la Ley 21 de 1982, los artículos 2o y 3o de la Ley 27 de 1974 y el artículo 1o de la Ley 89 de 1988, y de acuerdo con los requisitos y condiciones establecidos en las normas aplicables, y no serán responsables del </w:t>
      </w:r>
      <w:r w:rsidRPr="005B6879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lastRenderedPageBreak/>
        <w:t>Impuesto sobre la Renta para la Equidad (CREE)".</w:t>
      </w:r>
    </w:p>
    <w:p w:rsidR="002E2930" w:rsidRPr="005B6879" w:rsidRDefault="002E2930" w:rsidP="002E29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</w:p>
    <w:p w:rsidR="002E2930" w:rsidRPr="005B6879" w:rsidRDefault="002E2930" w:rsidP="002E29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B6879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El Decreto 862 de abril 26 de 2013 en el artículo 1 precisa el contenido de la Ley y de manera concordante señala respecto de los no contribuyentes del impuesto sobre la renta para la equidad CREE- "...y los usuarios que se hayan calificado o se califiquen a futuro en éstas que se encuentren sujetos a la tarifa especial del impuesto sobre la renta del 15% establecida en el inciso primero del </w:t>
      </w:r>
      <w:hyperlink r:id="rId7" w:tooltip="Estatuto Tributario CETA" w:history="1">
        <w:r w:rsidRPr="005B6879">
          <w:rPr>
            <w:rFonts w:ascii="Times New Roman" w:eastAsia="Times New Roman" w:hAnsi="Times New Roman" w:cs="Times New Roman"/>
            <w:sz w:val="24"/>
            <w:szCs w:val="24"/>
            <w:lang w:val="es-ES_tradnl" w:eastAsia="es-CO"/>
          </w:rPr>
          <w:t>artículo 240-1</w:t>
        </w:r>
      </w:hyperlink>
      <w:r w:rsidRPr="005B6879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 del Estatuto Tributario..."</w:t>
      </w:r>
    </w:p>
    <w:p w:rsidR="002E2930" w:rsidRPr="005B6879" w:rsidRDefault="002E2930" w:rsidP="002E29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</w:p>
    <w:p w:rsidR="002E2930" w:rsidRPr="005B6879" w:rsidRDefault="002E2930" w:rsidP="002E29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CO"/>
        </w:rPr>
      </w:pPr>
      <w:r w:rsidRPr="005B6879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Y es que, en efecto la tarifa del impuesto sobre la renta establecida en el </w:t>
      </w:r>
      <w:hyperlink r:id="rId8" w:tooltip="Estatuto Tributario CETA" w:history="1">
        <w:r w:rsidRPr="005B6879">
          <w:rPr>
            <w:rFonts w:ascii="Times New Roman" w:eastAsia="Times New Roman" w:hAnsi="Times New Roman" w:cs="Times New Roman"/>
            <w:sz w:val="24"/>
            <w:szCs w:val="24"/>
            <w:lang w:val="es-ES_tradnl" w:eastAsia="es-CO"/>
          </w:rPr>
          <w:t>artículo 240-1</w:t>
        </w:r>
      </w:hyperlink>
      <w:r w:rsidRPr="005B6879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 del Estatuto Tributario, es la especial del quince por ciento (15%) fijada en el inciso 1. </w:t>
      </w:r>
      <w:r w:rsidRPr="005B6879">
        <w:rPr>
          <w:rFonts w:ascii="Times New Roman" w:eastAsia="Times New Roman" w:hAnsi="Times New Roman" w:cs="Times New Roman"/>
          <w:b/>
          <w:sz w:val="24"/>
          <w:szCs w:val="24"/>
          <w:lang w:val="es-ES_tradnl" w:eastAsia="es-CO"/>
        </w:rPr>
        <w:t>Por ello, cuando el parágrafo 1 de esta disposición señala que "La tarifa del impuesto sobre la renta gravable aplicable a los usuarios comerciales de Zona Franca será la tarifa general vigente." está remitiendo a la</w:t>
      </w:r>
      <w:r w:rsidR="005B6879" w:rsidRPr="005B6879">
        <w:rPr>
          <w:rFonts w:ascii="Times New Roman" w:eastAsia="Times New Roman" w:hAnsi="Times New Roman" w:cs="Times New Roman"/>
          <w:b/>
          <w:sz w:val="24"/>
          <w:szCs w:val="24"/>
          <w:lang w:val="es-ES_tradnl" w:eastAsia="es-CO"/>
        </w:rPr>
        <w:t xml:space="preserve"> </w:t>
      </w:r>
      <w:r w:rsidRPr="005B6879">
        <w:rPr>
          <w:rFonts w:ascii="Times New Roman" w:eastAsia="Times New Roman" w:hAnsi="Times New Roman" w:cs="Times New Roman"/>
          <w:b/>
          <w:sz w:val="24"/>
          <w:szCs w:val="24"/>
          <w:lang w:val="es-ES_tradnl" w:eastAsia="es-CO"/>
        </w:rPr>
        <w:t xml:space="preserve">tarifa general del impuesto sobre la renta, contenida en el </w:t>
      </w:r>
      <w:hyperlink r:id="rId9" w:tooltip="Estatuto Tributario CETA" w:history="1">
        <w:r w:rsidRPr="005B6879">
          <w:rPr>
            <w:rFonts w:ascii="Times New Roman" w:eastAsia="Times New Roman" w:hAnsi="Times New Roman" w:cs="Times New Roman"/>
            <w:b/>
            <w:sz w:val="24"/>
            <w:szCs w:val="24"/>
            <w:lang w:val="es-ES_tradnl" w:eastAsia="es-CO"/>
          </w:rPr>
          <w:t>artículo 240</w:t>
        </w:r>
      </w:hyperlink>
      <w:r w:rsidRPr="005B6879">
        <w:rPr>
          <w:rFonts w:ascii="Times New Roman" w:eastAsia="Times New Roman" w:hAnsi="Times New Roman" w:cs="Times New Roman"/>
          <w:b/>
          <w:sz w:val="24"/>
          <w:szCs w:val="24"/>
          <w:lang w:val="es-ES_tradnl" w:eastAsia="es-CO"/>
        </w:rPr>
        <w:t xml:space="preserve"> ibídem.</w:t>
      </w:r>
    </w:p>
    <w:p w:rsidR="002E2930" w:rsidRPr="005B6879" w:rsidRDefault="002E2930" w:rsidP="002E29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</w:p>
    <w:p w:rsidR="002E2930" w:rsidRPr="005B6879" w:rsidRDefault="002E2930" w:rsidP="002E29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CO"/>
        </w:rPr>
      </w:pPr>
      <w:r w:rsidRPr="005B68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CO"/>
        </w:rPr>
        <w:t>En consecuencia, los usuarios comerciales de las Zonas Francas, no se enmarcan dentro de le excepción legal antes señalada y están sometidos al impuesto sobre la renta para la equidad y les es aplicable lo dispuesto tanto en la Ley 1607 de 2012 como en el Decreto 862 de 2013.</w:t>
      </w:r>
    </w:p>
    <w:p w:rsidR="002E2930" w:rsidRPr="005B6879" w:rsidRDefault="002E2930" w:rsidP="002E29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</w:p>
    <w:p w:rsidR="002E2930" w:rsidRPr="005B6879" w:rsidRDefault="002E2930" w:rsidP="002E29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</w:p>
    <w:p w:rsidR="002E2930" w:rsidRPr="005B6879" w:rsidRDefault="002E2930" w:rsidP="002E29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  <w:r w:rsidRPr="005B6879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Atentamente,</w:t>
      </w:r>
    </w:p>
    <w:p w:rsidR="002E2930" w:rsidRPr="005B6879" w:rsidRDefault="002E2930" w:rsidP="002E2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2E2930" w:rsidRPr="005B6879" w:rsidRDefault="002E2930" w:rsidP="002E2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2E2930" w:rsidRPr="005B6879" w:rsidRDefault="002E2930" w:rsidP="002E29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O"/>
        </w:rPr>
      </w:pPr>
      <w:r w:rsidRPr="005B687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O"/>
        </w:rPr>
        <w:t>LEONOR EUGENIA RUÍZ DE VILLALOBOS</w:t>
      </w:r>
    </w:p>
    <w:p w:rsidR="002E2930" w:rsidRDefault="002E2930" w:rsidP="002E29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CO"/>
        </w:rPr>
      </w:pPr>
      <w:r w:rsidRPr="005B6879">
        <w:rPr>
          <w:rFonts w:ascii="Times New Roman" w:eastAsia="Times New Roman" w:hAnsi="Times New Roman" w:cs="Times New Roman"/>
          <w:bCs/>
          <w:sz w:val="24"/>
          <w:szCs w:val="24"/>
          <w:lang w:val="es-ES_tradnl" w:eastAsia="es-CO"/>
        </w:rPr>
        <w:t>Subdirectora de Gestión Normativa y Doctrina</w:t>
      </w:r>
    </w:p>
    <w:p w:rsidR="005B6879" w:rsidRPr="005B6879" w:rsidRDefault="005B6879" w:rsidP="002E29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CO"/>
        </w:rPr>
        <w:t>_________________________________________________________________________</w:t>
      </w:r>
      <w:bookmarkStart w:id="0" w:name="_GoBack"/>
      <w:bookmarkEnd w:id="0"/>
    </w:p>
    <w:p w:rsidR="002E2930" w:rsidRPr="005B6879" w:rsidRDefault="002E2930" w:rsidP="002E2930">
      <w:pPr>
        <w:spacing w:after="2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B6879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190901" w:rsidRPr="005B6879" w:rsidRDefault="00190901">
      <w:pPr>
        <w:rPr>
          <w:rFonts w:ascii="Times New Roman" w:hAnsi="Times New Roman" w:cs="Times New Roman"/>
          <w:sz w:val="24"/>
          <w:szCs w:val="24"/>
        </w:rPr>
      </w:pPr>
    </w:p>
    <w:p w:rsidR="005B6879" w:rsidRPr="005B6879" w:rsidRDefault="005B6879">
      <w:pPr>
        <w:rPr>
          <w:rFonts w:ascii="Times New Roman" w:hAnsi="Times New Roman" w:cs="Times New Roman"/>
          <w:sz w:val="24"/>
          <w:szCs w:val="24"/>
        </w:rPr>
      </w:pPr>
    </w:p>
    <w:sectPr w:rsidR="005B6879" w:rsidRPr="005B68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30"/>
    <w:rsid w:val="00190901"/>
    <w:rsid w:val="002E2930"/>
    <w:rsid w:val="005B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a.org.co/html/vista_de_un_articulo.asp?Norma=3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ta.org.co/html/vista_de_un_articulo.asp?Norma=3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ta.org.co/html/vista_de_un_articulo.asp?Norma=31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eta.org.co/html/vista_de_un_articulo.asp?Norma=31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ta.org.co/html/vista_de_un_articulo.asp?Norma=31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2</cp:revision>
  <dcterms:created xsi:type="dcterms:W3CDTF">2013-08-16T18:41:00Z</dcterms:created>
  <dcterms:modified xsi:type="dcterms:W3CDTF">2013-08-18T14:31:00Z</dcterms:modified>
</cp:coreProperties>
</file>